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22BA" w14:textId="7C57B0F0" w:rsidR="008C2883" w:rsidRPr="0007524E" w:rsidRDefault="005C46D7" w:rsidP="005C46D7">
      <w:pPr>
        <w:jc w:val="right"/>
        <w:rPr>
          <w:rFonts w:ascii="Arial" w:hAnsi="Arial" w:cs="Arial"/>
          <w:b/>
          <w:bCs/>
        </w:rPr>
      </w:pPr>
      <w:r>
        <w:rPr>
          <w:rFonts w:ascii="Arial" w:hAnsi="Arial" w:cs="Arial"/>
          <w:b/>
          <w:bCs/>
          <w:noProof/>
        </w:rPr>
        <w:drawing>
          <wp:inline distT="0" distB="0" distL="0" distR="0" wp14:anchorId="2E3AE3FD" wp14:editId="783EEFD0">
            <wp:extent cx="2950210" cy="1266570"/>
            <wp:effectExtent l="0" t="0" r="2540" b="0"/>
            <wp:docPr id="1005403029" name="Picture 2" descr="A logo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03029" name="Picture 2" descr="A logo with blue and purpl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6869" cy="1269429"/>
                    </a:xfrm>
                    <a:prstGeom prst="rect">
                      <a:avLst/>
                    </a:prstGeom>
                  </pic:spPr>
                </pic:pic>
              </a:graphicData>
            </a:graphic>
          </wp:inline>
        </w:drawing>
      </w:r>
    </w:p>
    <w:p w14:paraId="6CFFC897" w14:textId="42F3ED7C" w:rsidR="005C46D7" w:rsidRPr="005C46D7" w:rsidRDefault="005C46D7">
      <w:pPr>
        <w:rPr>
          <w:rFonts w:ascii="Arial" w:hAnsi="Arial" w:cs="Arial"/>
          <w:b/>
          <w:bCs/>
          <w:u w:val="single"/>
        </w:rPr>
      </w:pPr>
      <w:r w:rsidRPr="005C46D7">
        <w:rPr>
          <w:rFonts w:ascii="Arial" w:hAnsi="Arial" w:cs="Arial"/>
          <w:b/>
          <w:bCs/>
          <w:u w:val="single"/>
        </w:rPr>
        <w:t>Applying for Share ownership in Homeground  Eastington</w:t>
      </w:r>
    </w:p>
    <w:p w14:paraId="060505F7" w14:textId="2BBF4B62" w:rsidR="00B56E8A" w:rsidRPr="0007524E" w:rsidRDefault="00B56E8A">
      <w:pPr>
        <w:rPr>
          <w:rFonts w:ascii="Arial" w:hAnsi="Arial" w:cs="Arial"/>
        </w:rPr>
      </w:pPr>
      <w:r w:rsidRPr="0007524E">
        <w:rPr>
          <w:rFonts w:ascii="Arial" w:hAnsi="Arial" w:cs="Arial"/>
          <w:b/>
          <w:bCs/>
        </w:rPr>
        <w:t>What is Shared Ownership?</w:t>
      </w:r>
      <w:r w:rsidRPr="0007524E">
        <w:rPr>
          <w:rFonts w:ascii="Arial" w:hAnsi="Arial" w:cs="Arial"/>
        </w:rPr>
        <w:t xml:space="preserve"> Shared Ownership is an affordable way to buy your own home. With Shared Ownership you can part-rent and part-buy a property. If you have a regular income but cannot afford current house prices, Shared Ownership could help start you on the road to full home ownership. Two Rivers Housing will retain the share of the property you do not buy and you will be charged a rent on this share. </w:t>
      </w:r>
    </w:p>
    <w:p w14:paraId="4DD191E0" w14:textId="33E179A6" w:rsidR="00B56E8A" w:rsidRPr="0007524E" w:rsidRDefault="00B56E8A">
      <w:pPr>
        <w:rPr>
          <w:rFonts w:ascii="Arial" w:hAnsi="Arial" w:cs="Arial"/>
        </w:rPr>
      </w:pPr>
      <w:r w:rsidRPr="0007524E">
        <w:rPr>
          <w:rFonts w:ascii="Arial" w:hAnsi="Arial" w:cs="Arial"/>
          <w:b/>
          <w:bCs/>
        </w:rPr>
        <w:t>How does Shared Ownership work?</w:t>
      </w:r>
      <w:r w:rsidRPr="0007524E">
        <w:rPr>
          <w:rFonts w:ascii="Arial" w:hAnsi="Arial" w:cs="Arial"/>
        </w:rPr>
        <w:t xml:space="preserve"> If you bought a home on the open market, you would agree a purchase price through an estate agent. Then you would take out a mortgage to cover the total purchase price of the property minus any deposit you might have available. With Shared Ownership, the price of the property is fixed at the open market value, as assessed by a qualified valuer. You borrow enough to cover the share you are buying. This is referred to as equity share. The equity share amount will be an amount that you can afford, as set out under government guidelines and agreed with our panel of mortgage brokers. </w:t>
      </w:r>
    </w:p>
    <w:p w14:paraId="07F15073" w14:textId="30099061" w:rsidR="00B56E8A" w:rsidRPr="0007524E" w:rsidRDefault="00B56E8A">
      <w:pPr>
        <w:rPr>
          <w:rFonts w:ascii="Arial" w:hAnsi="Arial" w:cs="Arial"/>
          <w:b/>
          <w:bCs/>
        </w:rPr>
      </w:pPr>
      <w:r w:rsidRPr="0007524E">
        <w:rPr>
          <w:rFonts w:ascii="Arial" w:hAnsi="Arial" w:cs="Arial"/>
          <w:b/>
          <w:bCs/>
        </w:rPr>
        <w:t>Who is eligible?</w:t>
      </w:r>
    </w:p>
    <w:p w14:paraId="466BF9F4" w14:textId="77777777" w:rsidR="00B56E8A" w:rsidRPr="0007524E" w:rsidRDefault="00B56E8A" w:rsidP="00B56E8A">
      <w:pPr>
        <w:pStyle w:val="ListParagraph"/>
        <w:numPr>
          <w:ilvl w:val="0"/>
          <w:numId w:val="1"/>
        </w:numPr>
        <w:rPr>
          <w:rFonts w:ascii="Arial" w:hAnsi="Arial" w:cs="Arial"/>
        </w:rPr>
      </w:pPr>
      <w:r w:rsidRPr="0007524E">
        <w:rPr>
          <w:rFonts w:ascii="Arial" w:hAnsi="Arial" w:cs="Arial"/>
        </w:rPr>
        <w:t xml:space="preserve">You must be unable to afford to purchase 100% of a property on the open market </w:t>
      </w:r>
    </w:p>
    <w:p w14:paraId="783972F7" w14:textId="12C102E9" w:rsidR="00B56E8A" w:rsidRPr="0007524E" w:rsidRDefault="00B56E8A" w:rsidP="00B56E8A">
      <w:pPr>
        <w:pStyle w:val="ListParagraph"/>
        <w:numPr>
          <w:ilvl w:val="0"/>
          <w:numId w:val="1"/>
        </w:numPr>
        <w:rPr>
          <w:rFonts w:ascii="Arial" w:hAnsi="Arial" w:cs="Arial"/>
          <w:b/>
          <w:bCs/>
        </w:rPr>
      </w:pPr>
      <w:r w:rsidRPr="0007524E">
        <w:rPr>
          <w:rFonts w:ascii="Arial" w:hAnsi="Arial" w:cs="Arial"/>
        </w:rPr>
        <w:t xml:space="preserve">You must have a close local connection to Eastington - You must currently live/work in the area, have close relatives in the area or have grown up there. We will ask you to demonstrate your connection. </w:t>
      </w:r>
    </w:p>
    <w:p w14:paraId="41BF61DA" w14:textId="526BFD28" w:rsidR="00B56E8A" w:rsidRPr="0007524E" w:rsidRDefault="00B56E8A" w:rsidP="00B56E8A">
      <w:pPr>
        <w:pStyle w:val="ListParagraph"/>
        <w:numPr>
          <w:ilvl w:val="0"/>
          <w:numId w:val="1"/>
        </w:numPr>
        <w:rPr>
          <w:rFonts w:ascii="Arial" w:hAnsi="Arial" w:cs="Arial"/>
          <w:b/>
          <w:bCs/>
        </w:rPr>
      </w:pPr>
      <w:r w:rsidRPr="0007524E">
        <w:rPr>
          <w:rFonts w:ascii="Arial" w:hAnsi="Arial" w:cs="Arial"/>
        </w:rPr>
        <w:t>Your affordability for the property must be assessed by one of our panel of mortgage brokers. This advice will be provided free of charge. If you then go on to take out a mortgage with them a fee would become payable.</w:t>
      </w:r>
    </w:p>
    <w:p w14:paraId="38CF373C" w14:textId="0504C725" w:rsidR="00B56E8A" w:rsidRPr="0007524E" w:rsidRDefault="00B56E8A" w:rsidP="00B56E8A">
      <w:pPr>
        <w:pStyle w:val="ListParagraph"/>
        <w:numPr>
          <w:ilvl w:val="0"/>
          <w:numId w:val="1"/>
        </w:numPr>
        <w:rPr>
          <w:rFonts w:ascii="Arial" w:hAnsi="Arial" w:cs="Arial"/>
          <w:b/>
          <w:bCs/>
        </w:rPr>
      </w:pPr>
      <w:r w:rsidRPr="0007524E">
        <w:rPr>
          <w:rFonts w:ascii="Arial" w:hAnsi="Arial" w:cs="Arial"/>
        </w:rPr>
        <w:t>Your household must earn less than £80,000 per annum.</w:t>
      </w:r>
    </w:p>
    <w:p w14:paraId="7020507C" w14:textId="3F19C809" w:rsidR="00B56E8A" w:rsidRPr="0007524E" w:rsidRDefault="00B56E8A" w:rsidP="00B56E8A">
      <w:pPr>
        <w:pStyle w:val="ListParagraph"/>
        <w:numPr>
          <w:ilvl w:val="0"/>
          <w:numId w:val="1"/>
        </w:numPr>
        <w:rPr>
          <w:rFonts w:ascii="Arial" w:hAnsi="Arial" w:cs="Arial"/>
          <w:b/>
          <w:bCs/>
        </w:rPr>
      </w:pPr>
      <w:r w:rsidRPr="0007524E">
        <w:rPr>
          <w:rFonts w:ascii="Arial" w:hAnsi="Arial" w:cs="Arial"/>
        </w:rPr>
        <w:t>You cannot own any other property.</w:t>
      </w:r>
    </w:p>
    <w:p w14:paraId="5683A34C" w14:textId="145A582E" w:rsidR="00B56E8A" w:rsidRPr="0007524E" w:rsidRDefault="00B56E8A" w:rsidP="00B56E8A">
      <w:pPr>
        <w:pStyle w:val="ListParagraph"/>
        <w:numPr>
          <w:ilvl w:val="0"/>
          <w:numId w:val="1"/>
        </w:numPr>
        <w:rPr>
          <w:rFonts w:ascii="Arial" w:hAnsi="Arial" w:cs="Arial"/>
          <w:b/>
          <w:bCs/>
        </w:rPr>
      </w:pPr>
      <w:r w:rsidRPr="0007524E">
        <w:rPr>
          <w:rFonts w:ascii="Arial" w:hAnsi="Arial" w:cs="Arial"/>
        </w:rPr>
        <w:t>You must live in the property as your ONLY and principal home.</w:t>
      </w:r>
    </w:p>
    <w:p w14:paraId="23C401F1" w14:textId="77777777" w:rsidR="006B20DC" w:rsidRPr="006B20DC" w:rsidRDefault="006B20DC" w:rsidP="006B20DC">
      <w:pPr>
        <w:rPr>
          <w:rFonts w:ascii="Arial" w:hAnsi="Arial" w:cs="Arial"/>
          <w:b/>
          <w:bCs/>
        </w:rPr>
      </w:pPr>
      <w:r w:rsidRPr="006B20DC">
        <w:rPr>
          <w:rFonts w:ascii="Arial" w:hAnsi="Arial" w:cs="Arial"/>
          <w:b/>
          <w:bCs/>
        </w:rPr>
        <w:t>Shared Ownership pros and cons</w:t>
      </w:r>
    </w:p>
    <w:p w14:paraId="318B4482" w14:textId="77777777" w:rsidR="006B20DC" w:rsidRPr="006B20DC" w:rsidRDefault="006B20DC" w:rsidP="006B20DC">
      <w:pPr>
        <w:rPr>
          <w:rFonts w:ascii="Arial" w:hAnsi="Arial" w:cs="Arial"/>
        </w:rPr>
      </w:pPr>
      <w:r w:rsidRPr="006B20DC">
        <w:rPr>
          <w:rFonts w:ascii="Arial" w:hAnsi="Arial" w:cs="Arial"/>
        </w:rPr>
        <w:t>The pros</w:t>
      </w:r>
    </w:p>
    <w:p w14:paraId="46CFED6B" w14:textId="77777777" w:rsidR="006B20DC" w:rsidRPr="006B20DC" w:rsidRDefault="006B20DC" w:rsidP="006B20DC">
      <w:pPr>
        <w:pStyle w:val="ListParagraph"/>
        <w:numPr>
          <w:ilvl w:val="0"/>
          <w:numId w:val="6"/>
        </w:numPr>
        <w:spacing w:after="299" w:line="261" w:lineRule="auto"/>
        <w:rPr>
          <w:rFonts w:ascii="Arial" w:hAnsi="Arial" w:cs="Arial"/>
        </w:rPr>
      </w:pPr>
      <w:r w:rsidRPr="006B20DC">
        <w:rPr>
          <w:rFonts w:ascii="Arial" w:hAnsi="Arial" w:cs="Arial"/>
        </w:rPr>
        <w:t>You could buy sooner because of the smaller deposit and mortgage</w:t>
      </w:r>
    </w:p>
    <w:p w14:paraId="31D3F292" w14:textId="77777777" w:rsidR="006B20DC" w:rsidRPr="006B20DC" w:rsidRDefault="006B20DC" w:rsidP="006B20DC">
      <w:pPr>
        <w:pStyle w:val="ListParagraph"/>
        <w:numPr>
          <w:ilvl w:val="0"/>
          <w:numId w:val="6"/>
        </w:numPr>
        <w:spacing w:after="299" w:line="261" w:lineRule="auto"/>
        <w:rPr>
          <w:rFonts w:ascii="Arial" w:hAnsi="Arial" w:cs="Arial"/>
        </w:rPr>
      </w:pPr>
      <w:r w:rsidRPr="006B20DC">
        <w:rPr>
          <w:rFonts w:ascii="Arial" w:hAnsi="Arial" w:cs="Arial"/>
        </w:rPr>
        <w:t>It’s more affordable for those on a lower income</w:t>
      </w:r>
    </w:p>
    <w:p w14:paraId="2B0D9692" w14:textId="77777777" w:rsidR="006B20DC" w:rsidRPr="006B20DC" w:rsidRDefault="006B20DC" w:rsidP="006B20DC">
      <w:pPr>
        <w:pStyle w:val="ListParagraph"/>
        <w:numPr>
          <w:ilvl w:val="0"/>
          <w:numId w:val="6"/>
        </w:numPr>
        <w:spacing w:after="299" w:line="261" w:lineRule="auto"/>
        <w:rPr>
          <w:rFonts w:ascii="Arial" w:hAnsi="Arial" w:cs="Arial"/>
        </w:rPr>
      </w:pPr>
      <w:r w:rsidRPr="006B20DC">
        <w:rPr>
          <w:rFonts w:ascii="Arial" w:hAnsi="Arial" w:cs="Arial"/>
        </w:rPr>
        <w:t>You can increase your share in the property as and when you can afford it</w:t>
      </w:r>
    </w:p>
    <w:p w14:paraId="4356161D" w14:textId="77777777" w:rsidR="006B20DC" w:rsidRPr="006B20DC" w:rsidRDefault="006B20DC" w:rsidP="006B20DC">
      <w:pPr>
        <w:pStyle w:val="ListParagraph"/>
        <w:numPr>
          <w:ilvl w:val="0"/>
          <w:numId w:val="6"/>
        </w:numPr>
        <w:spacing w:after="299" w:line="261" w:lineRule="auto"/>
        <w:rPr>
          <w:rFonts w:ascii="Arial" w:hAnsi="Arial" w:cs="Arial"/>
        </w:rPr>
      </w:pPr>
      <w:r w:rsidRPr="006B20DC">
        <w:rPr>
          <w:rFonts w:ascii="Arial" w:hAnsi="Arial" w:cs="Arial"/>
        </w:rPr>
        <w:t>It’s available on new-build homes and existing properties</w:t>
      </w:r>
    </w:p>
    <w:p w14:paraId="589B1D6B" w14:textId="77777777" w:rsidR="006B20DC" w:rsidRPr="006B20DC" w:rsidRDefault="006B20DC" w:rsidP="006B20DC">
      <w:pPr>
        <w:rPr>
          <w:rFonts w:ascii="Arial" w:hAnsi="Arial" w:cs="Arial"/>
        </w:rPr>
      </w:pPr>
      <w:r w:rsidRPr="006B20DC">
        <w:rPr>
          <w:rFonts w:ascii="Arial" w:hAnsi="Arial" w:cs="Arial"/>
        </w:rPr>
        <w:lastRenderedPageBreak/>
        <w:t>The cons</w:t>
      </w:r>
    </w:p>
    <w:p w14:paraId="51C46544" w14:textId="77777777" w:rsidR="006B20DC" w:rsidRPr="006B20DC" w:rsidRDefault="006B20DC" w:rsidP="006B20DC">
      <w:pPr>
        <w:pStyle w:val="ListParagraph"/>
        <w:numPr>
          <w:ilvl w:val="0"/>
          <w:numId w:val="7"/>
        </w:numPr>
        <w:spacing w:after="299" w:line="261" w:lineRule="auto"/>
        <w:rPr>
          <w:rFonts w:ascii="Arial" w:hAnsi="Arial" w:cs="Arial"/>
        </w:rPr>
      </w:pPr>
      <w:r w:rsidRPr="006B20DC">
        <w:rPr>
          <w:rFonts w:ascii="Arial" w:hAnsi="Arial" w:cs="Arial"/>
        </w:rPr>
        <w:t>Shared Ownership properties are leasehold, rather than freehold, so you will not own the land the property is on</w:t>
      </w:r>
    </w:p>
    <w:p w14:paraId="766DC1E8" w14:textId="77777777" w:rsidR="006B20DC" w:rsidRPr="006B20DC" w:rsidRDefault="006B20DC" w:rsidP="006B20DC">
      <w:pPr>
        <w:pStyle w:val="ListParagraph"/>
        <w:numPr>
          <w:ilvl w:val="0"/>
          <w:numId w:val="7"/>
        </w:numPr>
        <w:spacing w:after="299" w:line="261" w:lineRule="auto"/>
        <w:rPr>
          <w:rFonts w:ascii="Arial" w:hAnsi="Arial" w:cs="Arial"/>
        </w:rPr>
      </w:pPr>
      <w:r w:rsidRPr="006B20DC">
        <w:rPr>
          <w:rFonts w:ascii="Arial" w:hAnsi="Arial" w:cs="Arial"/>
        </w:rPr>
        <w:t>You have to pay service charge that comes with the property regardless of how big your stake is</w:t>
      </w:r>
    </w:p>
    <w:p w14:paraId="6BB4EA2C" w14:textId="77777777" w:rsidR="006B20DC" w:rsidRPr="006B20DC" w:rsidRDefault="006B20DC" w:rsidP="006B20DC">
      <w:pPr>
        <w:pStyle w:val="ListParagraph"/>
        <w:numPr>
          <w:ilvl w:val="0"/>
          <w:numId w:val="7"/>
        </w:numPr>
        <w:spacing w:after="299" w:line="261" w:lineRule="auto"/>
        <w:rPr>
          <w:rFonts w:ascii="Arial" w:hAnsi="Arial" w:cs="Arial"/>
        </w:rPr>
      </w:pPr>
      <w:r w:rsidRPr="006B20DC">
        <w:rPr>
          <w:rFonts w:ascii="Arial" w:hAnsi="Arial" w:cs="Arial"/>
        </w:rPr>
        <w:t>When you come to sell, you may have to do it through the Shared Ownership scheme rather than on the open market</w:t>
      </w:r>
    </w:p>
    <w:p w14:paraId="168894CB" w14:textId="77777777" w:rsidR="006B20DC" w:rsidRPr="006B20DC" w:rsidRDefault="006B20DC" w:rsidP="006B20DC">
      <w:pPr>
        <w:pStyle w:val="ListParagraph"/>
        <w:numPr>
          <w:ilvl w:val="0"/>
          <w:numId w:val="7"/>
        </w:numPr>
        <w:spacing w:after="299" w:line="261" w:lineRule="auto"/>
        <w:rPr>
          <w:rFonts w:ascii="Arial" w:hAnsi="Arial" w:cs="Arial"/>
        </w:rPr>
      </w:pPr>
      <w:r w:rsidRPr="006B20DC">
        <w:rPr>
          <w:rFonts w:ascii="Arial" w:hAnsi="Arial" w:cs="Arial"/>
        </w:rPr>
        <w:t>Buying more of the property over time comes at a cost</w:t>
      </w:r>
    </w:p>
    <w:p w14:paraId="3CCFA76A" w14:textId="1A8B0ABE" w:rsidR="00B56E8A" w:rsidRPr="0007524E" w:rsidRDefault="00B56E8A" w:rsidP="00B56E8A">
      <w:pPr>
        <w:rPr>
          <w:rFonts w:ascii="Arial" w:hAnsi="Arial" w:cs="Arial"/>
          <w:b/>
          <w:bCs/>
        </w:rPr>
      </w:pPr>
      <w:r w:rsidRPr="0007524E">
        <w:rPr>
          <w:rFonts w:ascii="Arial" w:hAnsi="Arial" w:cs="Arial"/>
          <w:b/>
          <w:bCs/>
        </w:rPr>
        <w:t>How to apply</w:t>
      </w:r>
    </w:p>
    <w:p w14:paraId="0AF61DC3" w14:textId="2DC8A502" w:rsidR="00BB4753" w:rsidRDefault="00BB4753" w:rsidP="00BB4753">
      <w:pPr>
        <w:pStyle w:val="xxxxxxmc-p"/>
        <w:numPr>
          <w:ilvl w:val="0"/>
          <w:numId w:val="3"/>
        </w:numPr>
        <w:spacing w:before="0" w:beforeAutospacing="0" w:after="0" w:afterAutospacing="0"/>
        <w:rPr>
          <w:rFonts w:ascii="Arial" w:hAnsi="Arial" w:cs="Arial"/>
          <w:color w:val="000000"/>
          <w:sz w:val="24"/>
          <w:szCs w:val="24"/>
        </w:rPr>
      </w:pPr>
      <w:r w:rsidRPr="001C64E7">
        <w:rPr>
          <w:rFonts w:ascii="Arial" w:hAnsi="Arial" w:cs="Arial"/>
          <w:color w:val="000000"/>
          <w:sz w:val="24"/>
          <w:szCs w:val="24"/>
        </w:rPr>
        <w:t xml:space="preserve">You need to complete this application form </w:t>
      </w:r>
      <w:hyperlink r:id="rId6" w:history="1">
        <w:r w:rsidR="001C64E7" w:rsidRPr="001C64E7">
          <w:rPr>
            <w:rFonts w:asciiTheme="minorHAnsi" w:hAnsiTheme="minorHAnsi" w:cstheme="minorBidi"/>
            <w:color w:val="0000FF"/>
            <w:kern w:val="2"/>
            <w:sz w:val="24"/>
            <w:szCs w:val="24"/>
            <w:u w:val="single"/>
            <w:lang w:eastAsia="en-US"/>
            <w14:ligatures w14:val="standardContextual"/>
          </w:rPr>
          <w:t>Shared ownership application</w:t>
        </w:r>
      </w:hyperlink>
    </w:p>
    <w:p w14:paraId="66A6424C" w14:textId="77777777" w:rsidR="001C64E7" w:rsidRPr="001C64E7" w:rsidRDefault="001C64E7" w:rsidP="001C64E7">
      <w:pPr>
        <w:pStyle w:val="xxxxxxmc-p"/>
        <w:spacing w:before="0" w:beforeAutospacing="0" w:after="0" w:afterAutospacing="0"/>
        <w:ind w:left="720"/>
        <w:rPr>
          <w:rFonts w:ascii="Arial" w:hAnsi="Arial" w:cs="Arial"/>
          <w:color w:val="000000"/>
          <w:sz w:val="24"/>
          <w:szCs w:val="24"/>
        </w:rPr>
      </w:pPr>
    </w:p>
    <w:p w14:paraId="5AE6D85C" w14:textId="103E128B" w:rsidR="00370BA9" w:rsidRPr="001C64E7" w:rsidRDefault="00BB4753" w:rsidP="00370BA9">
      <w:pPr>
        <w:pStyle w:val="xxxxxxmc-p"/>
        <w:numPr>
          <w:ilvl w:val="0"/>
          <w:numId w:val="3"/>
        </w:numPr>
        <w:spacing w:before="0" w:beforeAutospacing="0" w:after="0" w:afterAutospacing="0"/>
        <w:rPr>
          <w:rFonts w:ascii="Arial" w:hAnsi="Arial" w:cs="Arial"/>
          <w:color w:val="000000"/>
        </w:rPr>
      </w:pPr>
      <w:r w:rsidRPr="001C64E7">
        <w:rPr>
          <w:rFonts w:ascii="Arial" w:hAnsi="Arial" w:cs="Arial"/>
          <w:color w:val="000000"/>
          <w:sz w:val="24"/>
          <w:szCs w:val="24"/>
        </w:rPr>
        <w:t>We will need to see we need to see: Photo ID, Proof of address and you need to demonstrate your local connection.</w:t>
      </w:r>
    </w:p>
    <w:p w14:paraId="46A59F8E" w14:textId="77777777" w:rsidR="00370BA9" w:rsidRPr="00370BA9" w:rsidRDefault="00370BA9" w:rsidP="00370BA9">
      <w:pPr>
        <w:pStyle w:val="xxxxxxmc-p"/>
        <w:spacing w:before="0" w:beforeAutospacing="0" w:after="0" w:afterAutospacing="0"/>
        <w:ind w:left="360"/>
        <w:rPr>
          <w:rFonts w:ascii="Arial" w:hAnsi="Arial" w:cs="Arial"/>
          <w:color w:val="000000"/>
        </w:rPr>
      </w:pPr>
    </w:p>
    <w:p w14:paraId="46033529" w14:textId="5879B812" w:rsidR="00140772" w:rsidRPr="0007524E" w:rsidRDefault="00BB4753" w:rsidP="00140772">
      <w:pPr>
        <w:pStyle w:val="xxxxxxmc-p"/>
        <w:numPr>
          <w:ilvl w:val="0"/>
          <w:numId w:val="3"/>
        </w:numPr>
        <w:spacing w:before="0" w:beforeAutospacing="0" w:after="0" w:afterAutospacing="0"/>
        <w:rPr>
          <w:rFonts w:ascii="Arial" w:hAnsi="Arial" w:cs="Arial"/>
          <w:color w:val="000000"/>
          <w:sz w:val="24"/>
          <w:szCs w:val="24"/>
        </w:rPr>
      </w:pPr>
      <w:r w:rsidRPr="0007524E">
        <w:rPr>
          <w:rFonts w:ascii="Arial" w:hAnsi="Arial" w:cs="Arial"/>
          <w:color w:val="000000"/>
          <w:sz w:val="24"/>
          <w:szCs w:val="24"/>
        </w:rPr>
        <w:t xml:space="preserve">You need to seek financial advice from </w:t>
      </w:r>
      <w:r w:rsidRPr="001C64E7">
        <w:rPr>
          <w:rFonts w:ascii="Arial" w:hAnsi="Arial" w:cs="Arial"/>
          <w:color w:val="000000"/>
          <w:sz w:val="24"/>
          <w:szCs w:val="24"/>
          <w:u w:val="single"/>
        </w:rPr>
        <w:t>one of our panel of mortgage brokers</w:t>
      </w:r>
      <w:r w:rsidRPr="0007524E">
        <w:rPr>
          <w:rFonts w:ascii="Arial" w:hAnsi="Arial" w:cs="Arial"/>
          <w:color w:val="000000"/>
          <w:sz w:val="24"/>
          <w:szCs w:val="24"/>
        </w:rPr>
        <w:t xml:space="preserve"> who will assess your affordability</w:t>
      </w:r>
      <w:r w:rsidR="00140772" w:rsidRPr="0007524E">
        <w:rPr>
          <w:rFonts w:ascii="Arial" w:hAnsi="Arial" w:cs="Arial"/>
          <w:color w:val="000000"/>
          <w:sz w:val="24"/>
          <w:szCs w:val="24"/>
        </w:rPr>
        <w:t xml:space="preserve">. You need to say that you have been referred by Two Rivers Housing. They will </w:t>
      </w:r>
      <w:r w:rsidR="00550230" w:rsidRPr="0007524E">
        <w:rPr>
          <w:rFonts w:ascii="Arial" w:hAnsi="Arial" w:cs="Arial"/>
          <w:color w:val="000000"/>
          <w:sz w:val="24"/>
          <w:szCs w:val="24"/>
        </w:rPr>
        <w:t>do</w:t>
      </w:r>
      <w:r w:rsidR="00140772" w:rsidRPr="0007524E">
        <w:rPr>
          <w:rFonts w:ascii="Arial" w:hAnsi="Arial" w:cs="Arial"/>
          <w:color w:val="000000"/>
          <w:sz w:val="24"/>
          <w:szCs w:val="24"/>
        </w:rPr>
        <w:t xml:space="preserve"> this assessment for free</w:t>
      </w:r>
    </w:p>
    <w:p w14:paraId="671C5C06" w14:textId="77777777" w:rsidR="00140772" w:rsidRPr="0007524E" w:rsidRDefault="00140772" w:rsidP="00140772">
      <w:pPr>
        <w:pStyle w:val="xxxxxxmc-p"/>
        <w:spacing w:before="0" w:beforeAutospacing="0" w:after="0" w:afterAutospacing="0"/>
        <w:rPr>
          <w:rFonts w:ascii="Arial" w:hAnsi="Arial" w:cs="Arial"/>
          <w:color w:val="000000"/>
          <w:sz w:val="24"/>
          <w:szCs w:val="24"/>
        </w:rPr>
      </w:pPr>
    </w:p>
    <w:tbl>
      <w:tblPr>
        <w:tblStyle w:val="TableGrid"/>
        <w:tblW w:w="0" w:type="auto"/>
        <w:tblLook w:val="04A0" w:firstRow="1" w:lastRow="0" w:firstColumn="1" w:lastColumn="0" w:noHBand="0" w:noVBand="1"/>
      </w:tblPr>
      <w:tblGrid>
        <w:gridCol w:w="4508"/>
        <w:gridCol w:w="4508"/>
      </w:tblGrid>
      <w:tr w:rsidR="00140772" w14:paraId="3048F37F" w14:textId="77777777" w:rsidTr="00140772">
        <w:tc>
          <w:tcPr>
            <w:tcW w:w="4508" w:type="dxa"/>
          </w:tcPr>
          <w:p w14:paraId="4BCCA836" w14:textId="77777777" w:rsidR="00140772" w:rsidRDefault="00140772" w:rsidP="00140772">
            <w:pPr>
              <w:pStyle w:val="NoSpacing"/>
              <w:rPr>
                <w:rFonts w:ascii="Arial" w:hAnsi="Arial" w:cs="Arial"/>
              </w:rPr>
            </w:pPr>
            <w:r w:rsidRPr="00140772">
              <w:rPr>
                <w:rFonts w:ascii="Arial" w:hAnsi="Arial" w:cs="Arial"/>
              </w:rPr>
              <w:t>Brunswick Homeloans</w:t>
            </w:r>
          </w:p>
          <w:p w14:paraId="455B42AC" w14:textId="77777777" w:rsidR="00140772" w:rsidRPr="00140772" w:rsidRDefault="00140772" w:rsidP="00140772">
            <w:pPr>
              <w:pStyle w:val="NoSpacing"/>
              <w:rPr>
                <w:rFonts w:ascii="Arial" w:hAnsi="Arial" w:cs="Arial"/>
              </w:rPr>
            </w:pPr>
          </w:p>
          <w:p w14:paraId="35EB591A" w14:textId="1B31D419" w:rsidR="00140772" w:rsidRPr="00140772" w:rsidRDefault="00140772" w:rsidP="00140772">
            <w:pPr>
              <w:pStyle w:val="NoSpacing"/>
              <w:rPr>
                <w:rFonts w:ascii="Arial" w:hAnsi="Arial" w:cs="Arial"/>
              </w:rPr>
            </w:pPr>
            <w:r w:rsidRPr="00140772">
              <w:rPr>
                <w:rFonts w:ascii="Arial" w:hAnsi="Arial" w:cs="Arial"/>
              </w:rPr>
              <w:t>Persh Farm</w:t>
            </w:r>
            <w:r>
              <w:rPr>
                <w:rFonts w:ascii="Arial" w:hAnsi="Arial" w:cs="Arial"/>
              </w:rPr>
              <w:t xml:space="preserve">, </w:t>
            </w:r>
            <w:r w:rsidRPr="00140772">
              <w:rPr>
                <w:rFonts w:ascii="Arial" w:hAnsi="Arial" w:cs="Arial"/>
              </w:rPr>
              <w:t>Persh Lane</w:t>
            </w:r>
          </w:p>
          <w:p w14:paraId="3C4C7571" w14:textId="77777777" w:rsidR="00550230" w:rsidRDefault="00140772" w:rsidP="00140772">
            <w:pPr>
              <w:pStyle w:val="NoSpacing"/>
              <w:rPr>
                <w:rFonts w:ascii="Arial" w:hAnsi="Arial" w:cs="Arial"/>
              </w:rPr>
            </w:pPr>
            <w:r w:rsidRPr="00140772">
              <w:rPr>
                <w:rFonts w:ascii="Arial" w:hAnsi="Arial" w:cs="Arial"/>
              </w:rPr>
              <w:t>Maisemore</w:t>
            </w:r>
            <w:r>
              <w:rPr>
                <w:rFonts w:ascii="Arial" w:hAnsi="Arial" w:cs="Arial"/>
              </w:rPr>
              <w:t xml:space="preserve">, </w:t>
            </w:r>
            <w:r w:rsidRPr="00140772">
              <w:rPr>
                <w:rFonts w:ascii="Arial" w:hAnsi="Arial" w:cs="Arial"/>
              </w:rPr>
              <w:t>Gloucester</w:t>
            </w:r>
            <w:r>
              <w:rPr>
                <w:rFonts w:ascii="Arial" w:hAnsi="Arial" w:cs="Arial"/>
              </w:rPr>
              <w:t xml:space="preserve">, </w:t>
            </w:r>
          </w:p>
          <w:p w14:paraId="351FFB35" w14:textId="4E5C0C30" w:rsidR="00140772" w:rsidRPr="00140772" w:rsidRDefault="00140772" w:rsidP="00140772">
            <w:pPr>
              <w:pStyle w:val="NoSpacing"/>
              <w:rPr>
                <w:rFonts w:ascii="Arial" w:hAnsi="Arial" w:cs="Arial"/>
              </w:rPr>
            </w:pPr>
            <w:r w:rsidRPr="00140772">
              <w:rPr>
                <w:rFonts w:ascii="Arial" w:hAnsi="Arial" w:cs="Arial"/>
              </w:rPr>
              <w:t>GL2 8HH</w:t>
            </w:r>
          </w:p>
          <w:p w14:paraId="26F4FED1" w14:textId="77777777" w:rsidR="00140772" w:rsidRPr="00140772" w:rsidRDefault="00140772" w:rsidP="00140772">
            <w:pPr>
              <w:pStyle w:val="NoSpacing"/>
              <w:rPr>
                <w:rFonts w:ascii="Arial" w:hAnsi="Arial" w:cs="Arial"/>
              </w:rPr>
            </w:pPr>
          </w:p>
          <w:p w14:paraId="1FE0543F" w14:textId="77777777" w:rsidR="00140772" w:rsidRPr="00140772" w:rsidRDefault="00140772" w:rsidP="00140772">
            <w:pPr>
              <w:pStyle w:val="NoSpacing"/>
              <w:rPr>
                <w:rFonts w:ascii="Arial" w:hAnsi="Arial" w:cs="Arial"/>
              </w:rPr>
            </w:pPr>
            <w:r w:rsidRPr="00140772">
              <w:rPr>
                <w:rFonts w:ascii="Arial" w:hAnsi="Arial" w:cs="Arial"/>
              </w:rPr>
              <w:t>Tel: 01452 413300</w:t>
            </w:r>
          </w:p>
          <w:p w14:paraId="7C0CB0D3" w14:textId="27DB10CB" w:rsidR="00140772" w:rsidRPr="00140772" w:rsidRDefault="00140772" w:rsidP="00140772">
            <w:pPr>
              <w:pStyle w:val="NoSpacing"/>
              <w:rPr>
                <w:rFonts w:ascii="Arial" w:hAnsi="Arial" w:cs="Arial"/>
              </w:rPr>
            </w:pPr>
            <w:r w:rsidRPr="00140772">
              <w:rPr>
                <w:rFonts w:ascii="Arial" w:hAnsi="Arial" w:cs="Arial"/>
              </w:rPr>
              <w:t>http://www.brunswickhomeloans.co.uk/</w:t>
            </w:r>
          </w:p>
          <w:p w14:paraId="0EB6D877" w14:textId="0DE89AD9" w:rsidR="00140772" w:rsidRPr="00140772" w:rsidRDefault="00140772" w:rsidP="00140772">
            <w:pPr>
              <w:pStyle w:val="NoSpacing"/>
              <w:rPr>
                <w:rFonts w:ascii="Arial" w:hAnsi="Arial" w:cs="Arial"/>
              </w:rPr>
            </w:pPr>
            <w:r w:rsidRPr="00140772">
              <w:rPr>
                <w:rFonts w:ascii="Arial" w:hAnsi="Arial" w:cs="Arial"/>
              </w:rPr>
              <w:t>service@brunswickhomeloans.co.uk</w:t>
            </w:r>
          </w:p>
        </w:tc>
        <w:tc>
          <w:tcPr>
            <w:tcW w:w="4508" w:type="dxa"/>
          </w:tcPr>
          <w:p w14:paraId="1F1EE6E1" w14:textId="77777777" w:rsidR="00140772" w:rsidRDefault="00140772" w:rsidP="00BB4753">
            <w:pPr>
              <w:pStyle w:val="xxxxxxmc-p"/>
              <w:spacing w:before="0" w:beforeAutospacing="0" w:after="0" w:afterAutospacing="0"/>
              <w:rPr>
                <w:rFonts w:ascii="Arial" w:hAnsi="Arial" w:cs="Arial"/>
                <w:color w:val="000000"/>
                <w:sz w:val="24"/>
                <w:szCs w:val="24"/>
              </w:rPr>
            </w:pPr>
            <w:r w:rsidRPr="00140772">
              <w:rPr>
                <w:rFonts w:ascii="Arial" w:hAnsi="Arial" w:cs="Arial"/>
                <w:color w:val="000000"/>
                <w:sz w:val="24"/>
                <w:szCs w:val="24"/>
              </w:rPr>
              <w:t>TMP – The Mortgage People</w:t>
            </w:r>
          </w:p>
          <w:p w14:paraId="48C8F6BA" w14:textId="77777777" w:rsidR="00140772" w:rsidRPr="00140772" w:rsidRDefault="00140772" w:rsidP="00BB4753">
            <w:pPr>
              <w:pStyle w:val="xxxxxxmc-p"/>
              <w:spacing w:before="0" w:beforeAutospacing="0" w:after="0" w:afterAutospacing="0"/>
              <w:rPr>
                <w:rFonts w:ascii="Arial" w:hAnsi="Arial" w:cs="Arial"/>
                <w:color w:val="000000"/>
                <w:sz w:val="24"/>
                <w:szCs w:val="24"/>
              </w:rPr>
            </w:pPr>
          </w:p>
          <w:p w14:paraId="144773CF" w14:textId="246A34FA" w:rsidR="00140772" w:rsidRPr="00140772" w:rsidRDefault="00140772" w:rsidP="00140772">
            <w:pPr>
              <w:pStyle w:val="NoSpacing"/>
              <w:rPr>
                <w:rFonts w:ascii="Arial" w:hAnsi="Arial" w:cs="Arial"/>
              </w:rPr>
            </w:pPr>
            <w:r w:rsidRPr="00140772">
              <w:rPr>
                <w:rFonts w:ascii="Arial" w:hAnsi="Arial" w:cs="Arial"/>
              </w:rPr>
              <w:t>1-2 Grafton Court,</w:t>
            </w:r>
            <w:r>
              <w:rPr>
                <w:rFonts w:ascii="Arial" w:hAnsi="Arial" w:cs="Arial"/>
              </w:rPr>
              <w:t xml:space="preserve"> </w:t>
            </w:r>
            <w:r w:rsidRPr="00140772">
              <w:rPr>
                <w:rFonts w:ascii="Arial" w:hAnsi="Arial" w:cs="Arial"/>
              </w:rPr>
              <w:t>Kettering Parkway,</w:t>
            </w:r>
          </w:p>
          <w:p w14:paraId="70D75BD4" w14:textId="3BDB39B2" w:rsidR="00140772" w:rsidRPr="00140772" w:rsidRDefault="00140772" w:rsidP="00140772">
            <w:pPr>
              <w:pStyle w:val="NoSpacing"/>
              <w:rPr>
                <w:rFonts w:ascii="Arial" w:hAnsi="Arial" w:cs="Arial"/>
              </w:rPr>
            </w:pPr>
            <w:r w:rsidRPr="00140772">
              <w:rPr>
                <w:rFonts w:ascii="Arial" w:hAnsi="Arial" w:cs="Arial"/>
              </w:rPr>
              <w:t>Kettering Venture Park,</w:t>
            </w:r>
            <w:r>
              <w:rPr>
                <w:rFonts w:ascii="Arial" w:hAnsi="Arial" w:cs="Arial"/>
              </w:rPr>
              <w:t xml:space="preserve"> </w:t>
            </w:r>
            <w:r w:rsidRPr="00140772">
              <w:rPr>
                <w:rFonts w:ascii="Arial" w:hAnsi="Arial" w:cs="Arial"/>
              </w:rPr>
              <w:t>Kettering,</w:t>
            </w:r>
          </w:p>
          <w:p w14:paraId="421FCAF1" w14:textId="24C1F8EE" w:rsidR="00140772" w:rsidRDefault="00140772" w:rsidP="00140772">
            <w:pPr>
              <w:pStyle w:val="NoSpacing"/>
              <w:rPr>
                <w:rFonts w:ascii="Arial" w:hAnsi="Arial" w:cs="Arial"/>
              </w:rPr>
            </w:pPr>
            <w:r w:rsidRPr="00140772">
              <w:rPr>
                <w:rFonts w:ascii="Arial" w:hAnsi="Arial" w:cs="Arial"/>
              </w:rPr>
              <w:t>Northamptonshire</w:t>
            </w:r>
            <w:r>
              <w:rPr>
                <w:rFonts w:ascii="Arial" w:hAnsi="Arial" w:cs="Arial"/>
              </w:rPr>
              <w:t xml:space="preserve">, </w:t>
            </w:r>
            <w:r w:rsidRPr="00140772">
              <w:rPr>
                <w:rFonts w:ascii="Arial" w:hAnsi="Arial" w:cs="Arial"/>
              </w:rPr>
              <w:t>NN15 6XR</w:t>
            </w:r>
          </w:p>
          <w:p w14:paraId="56674D37" w14:textId="77777777" w:rsidR="00140772" w:rsidRPr="00140772" w:rsidRDefault="00140772" w:rsidP="00140772">
            <w:pPr>
              <w:pStyle w:val="NoSpacing"/>
              <w:rPr>
                <w:rFonts w:ascii="Arial" w:hAnsi="Arial" w:cs="Arial"/>
              </w:rPr>
            </w:pPr>
          </w:p>
          <w:p w14:paraId="37DBE50B" w14:textId="24AAA8F0" w:rsidR="00140772" w:rsidRPr="00140772" w:rsidRDefault="00140772" w:rsidP="00BB4753">
            <w:pPr>
              <w:pStyle w:val="xxxxxxmc-p"/>
              <w:spacing w:before="0" w:beforeAutospacing="0" w:after="0" w:afterAutospacing="0"/>
              <w:rPr>
                <w:rFonts w:ascii="Arial" w:hAnsi="Arial" w:cs="Arial"/>
                <w:color w:val="000000"/>
                <w:sz w:val="24"/>
                <w:szCs w:val="24"/>
              </w:rPr>
            </w:pPr>
            <w:r w:rsidRPr="00140772">
              <w:rPr>
                <w:rFonts w:ascii="Arial" w:hAnsi="Arial" w:cs="Arial"/>
                <w:color w:val="000000"/>
                <w:sz w:val="24"/>
                <w:szCs w:val="24"/>
              </w:rPr>
              <w:t xml:space="preserve">Tel: </w:t>
            </w:r>
            <w:r w:rsidRPr="00140772">
              <w:rPr>
                <w:rFonts w:ascii="Arial" w:hAnsi="Arial" w:cs="Arial"/>
                <w:color w:val="333333"/>
                <w:sz w:val="24"/>
                <w:szCs w:val="24"/>
              </w:rPr>
              <w:t>0800 4880 814</w:t>
            </w:r>
          </w:p>
          <w:p w14:paraId="5D0956DB" w14:textId="4AD617AE" w:rsidR="00140772" w:rsidRDefault="00550230" w:rsidP="00BB4753">
            <w:pPr>
              <w:pStyle w:val="xxxxxxmc-p"/>
              <w:spacing w:before="0" w:beforeAutospacing="0" w:after="0" w:afterAutospacing="0"/>
              <w:rPr>
                <w:rFonts w:ascii="Arial" w:hAnsi="Arial" w:cs="Arial"/>
                <w:color w:val="000000"/>
                <w:sz w:val="24"/>
                <w:szCs w:val="24"/>
              </w:rPr>
            </w:pPr>
            <w:hyperlink r:id="rId7" w:history="1">
              <w:r w:rsidRPr="004E7174">
                <w:rPr>
                  <w:rStyle w:val="Hyperlink"/>
                  <w:rFonts w:ascii="Arial" w:hAnsi="Arial" w:cs="Arial"/>
                  <w:sz w:val="24"/>
                  <w:szCs w:val="24"/>
                </w:rPr>
                <w:t>https://tmpmortgages.co.uk/</w:t>
              </w:r>
            </w:hyperlink>
          </w:p>
          <w:p w14:paraId="179AFF83" w14:textId="034D7A5E" w:rsidR="00550230" w:rsidRDefault="00550230" w:rsidP="00BB4753">
            <w:pPr>
              <w:pStyle w:val="xxxxxxmc-p"/>
              <w:spacing w:before="0" w:beforeAutospacing="0" w:after="0" w:afterAutospacing="0"/>
              <w:rPr>
                <w:rFonts w:ascii="Arial" w:hAnsi="Arial" w:cs="Arial"/>
                <w:color w:val="000000"/>
                <w:sz w:val="24"/>
                <w:szCs w:val="24"/>
              </w:rPr>
            </w:pPr>
            <w:r w:rsidRPr="00550230">
              <w:rPr>
                <w:rFonts w:ascii="Arial" w:hAnsi="Arial" w:cs="Arial"/>
                <w:color w:val="000000"/>
                <w:sz w:val="24"/>
                <w:szCs w:val="24"/>
              </w:rPr>
              <w:t>chirpy@tmpmortgages.co.uk</w:t>
            </w:r>
          </w:p>
        </w:tc>
      </w:tr>
    </w:tbl>
    <w:p w14:paraId="00E93B44" w14:textId="77777777" w:rsidR="00BB4753" w:rsidRDefault="00BB4753" w:rsidP="00BB4753">
      <w:pPr>
        <w:pStyle w:val="xxxxxxmc-p"/>
        <w:spacing w:before="0" w:beforeAutospacing="0" w:after="0" w:afterAutospacing="0"/>
        <w:rPr>
          <w:rFonts w:ascii="Arial" w:hAnsi="Arial" w:cs="Arial"/>
          <w:color w:val="000000"/>
          <w:sz w:val="24"/>
          <w:szCs w:val="24"/>
        </w:rPr>
      </w:pPr>
    </w:p>
    <w:p w14:paraId="2AD201C8" w14:textId="77777777" w:rsidR="0007524E" w:rsidRPr="0007524E" w:rsidRDefault="0007524E" w:rsidP="0007524E">
      <w:pPr>
        <w:pStyle w:val="NoSpacing"/>
        <w:rPr>
          <w:rFonts w:ascii="Arial" w:hAnsi="Arial" w:cs="Arial"/>
          <w:b/>
          <w:bCs/>
        </w:rPr>
      </w:pPr>
      <w:r w:rsidRPr="0007524E">
        <w:rPr>
          <w:rFonts w:ascii="Arial" w:hAnsi="Arial" w:cs="Arial"/>
          <w:b/>
          <w:bCs/>
        </w:rPr>
        <w:t>Shared ownership allocation policy</w:t>
      </w:r>
    </w:p>
    <w:p w14:paraId="559B0C81" w14:textId="77777777" w:rsidR="0007524E" w:rsidRPr="0007524E" w:rsidRDefault="0007524E" w:rsidP="0007524E">
      <w:pPr>
        <w:pStyle w:val="NoSpacing"/>
        <w:rPr>
          <w:rFonts w:ascii="Arial" w:hAnsi="Arial" w:cs="Arial"/>
          <w:b/>
          <w:bCs/>
        </w:rPr>
      </w:pPr>
    </w:p>
    <w:p w14:paraId="383B8934" w14:textId="77777777" w:rsidR="0007524E" w:rsidRPr="0007524E" w:rsidRDefault="0007524E" w:rsidP="0007524E">
      <w:pPr>
        <w:pStyle w:val="NoSpacing"/>
        <w:rPr>
          <w:rFonts w:ascii="Arial" w:hAnsi="Arial" w:cs="Arial"/>
        </w:rPr>
      </w:pPr>
      <w:r w:rsidRPr="0007524E">
        <w:rPr>
          <w:rFonts w:ascii="Arial" w:hAnsi="Arial" w:cs="Arial"/>
        </w:rPr>
        <w:t>The demand for our shared ownership homes far outstrips the supply, it is therefore imperative that we are clear in how we allocate and offer our shared ownership homes to prospective eligible customers.</w:t>
      </w:r>
    </w:p>
    <w:p w14:paraId="5F0B6FA6" w14:textId="77777777" w:rsidR="0007524E" w:rsidRPr="0007524E" w:rsidRDefault="0007524E" w:rsidP="0007524E">
      <w:pPr>
        <w:pStyle w:val="NoSpacing"/>
        <w:rPr>
          <w:rFonts w:ascii="Arial" w:hAnsi="Arial" w:cs="Arial"/>
        </w:rPr>
      </w:pPr>
    </w:p>
    <w:p w14:paraId="54C71263" w14:textId="77777777" w:rsidR="0007524E" w:rsidRPr="0007524E" w:rsidRDefault="0007524E" w:rsidP="0007524E">
      <w:pPr>
        <w:pStyle w:val="NoSpacing"/>
        <w:rPr>
          <w:rFonts w:ascii="Arial" w:hAnsi="Arial" w:cs="Arial"/>
        </w:rPr>
      </w:pPr>
      <w:r w:rsidRPr="0007524E">
        <w:rPr>
          <w:rFonts w:ascii="Arial" w:hAnsi="Arial" w:cs="Arial"/>
        </w:rPr>
        <w:t>In line with regulative guidance we have to be open in offering our shared ownership homes on a first come first served basis.</w:t>
      </w:r>
    </w:p>
    <w:p w14:paraId="74194D0F" w14:textId="77777777" w:rsidR="0007524E" w:rsidRPr="0007524E" w:rsidRDefault="0007524E" w:rsidP="0007524E">
      <w:pPr>
        <w:pStyle w:val="NoSpacing"/>
        <w:rPr>
          <w:rFonts w:ascii="Arial" w:hAnsi="Arial" w:cs="Arial"/>
        </w:rPr>
      </w:pPr>
    </w:p>
    <w:p w14:paraId="09AE2446" w14:textId="77777777" w:rsidR="0007524E" w:rsidRPr="0007524E" w:rsidRDefault="0007524E" w:rsidP="0007524E">
      <w:pPr>
        <w:pStyle w:val="NoSpacing"/>
        <w:rPr>
          <w:rFonts w:ascii="Arial" w:hAnsi="Arial" w:cs="Arial"/>
        </w:rPr>
      </w:pPr>
      <w:r w:rsidRPr="0007524E">
        <w:rPr>
          <w:rFonts w:ascii="Arial" w:hAnsi="Arial" w:cs="Arial"/>
        </w:rPr>
        <w:t>Our first come first serve policy at Two Rivers Housing is based upon;</w:t>
      </w:r>
    </w:p>
    <w:p w14:paraId="78B25397" w14:textId="77777777" w:rsidR="0007524E" w:rsidRPr="0007524E" w:rsidRDefault="0007524E" w:rsidP="0007524E">
      <w:pPr>
        <w:pStyle w:val="NoSpacing"/>
        <w:rPr>
          <w:rFonts w:ascii="Arial" w:hAnsi="Arial" w:cs="Arial"/>
        </w:rPr>
      </w:pPr>
    </w:p>
    <w:p w14:paraId="6C3DB09A" w14:textId="77777777" w:rsidR="0007524E" w:rsidRPr="0007524E" w:rsidRDefault="0007524E" w:rsidP="0007524E">
      <w:pPr>
        <w:pStyle w:val="NoSpacing"/>
        <w:rPr>
          <w:rFonts w:ascii="Arial" w:hAnsi="Arial" w:cs="Arial"/>
        </w:rPr>
      </w:pPr>
      <w:r w:rsidRPr="0007524E">
        <w:rPr>
          <w:rFonts w:ascii="Arial" w:hAnsi="Arial" w:cs="Arial"/>
        </w:rPr>
        <w:t>Whoever is first to pass their assessment and submit all their documents and meet any local connection criteria.</w:t>
      </w:r>
    </w:p>
    <w:p w14:paraId="15AD01C1" w14:textId="77777777" w:rsidR="0007524E" w:rsidRPr="0007524E" w:rsidRDefault="0007524E" w:rsidP="0007524E">
      <w:pPr>
        <w:pStyle w:val="NoSpacing"/>
      </w:pPr>
    </w:p>
    <w:p w14:paraId="1CD02598" w14:textId="77777777" w:rsidR="005C46D7" w:rsidRDefault="005C46D7">
      <w:pPr>
        <w:rPr>
          <w:rFonts w:ascii="Arial" w:hAnsi="Arial" w:cs="Arial"/>
          <w:b/>
          <w:bCs/>
        </w:rPr>
      </w:pPr>
      <w:r>
        <w:rPr>
          <w:rFonts w:ascii="Arial" w:hAnsi="Arial" w:cs="Arial"/>
          <w:b/>
          <w:bCs/>
        </w:rPr>
        <w:br w:type="page"/>
      </w:r>
    </w:p>
    <w:p w14:paraId="2928FBB1" w14:textId="22EA97D9" w:rsidR="0007524E" w:rsidRPr="0007524E" w:rsidRDefault="0007524E" w:rsidP="0007524E">
      <w:pPr>
        <w:pStyle w:val="NoSpacing"/>
        <w:rPr>
          <w:rFonts w:ascii="Arial" w:hAnsi="Arial" w:cs="Arial"/>
          <w:b/>
          <w:bCs/>
        </w:rPr>
      </w:pPr>
      <w:r w:rsidRPr="0007524E">
        <w:rPr>
          <w:rFonts w:ascii="Arial" w:hAnsi="Arial" w:cs="Arial"/>
          <w:b/>
          <w:bCs/>
        </w:rPr>
        <w:lastRenderedPageBreak/>
        <w:t>Adverse policy</w:t>
      </w:r>
    </w:p>
    <w:p w14:paraId="244C8015" w14:textId="77777777" w:rsidR="0007524E" w:rsidRPr="0007524E" w:rsidRDefault="0007524E" w:rsidP="0007524E">
      <w:pPr>
        <w:pStyle w:val="NoSpacing"/>
        <w:rPr>
          <w:rFonts w:ascii="Arial" w:hAnsi="Arial" w:cs="Arial"/>
        </w:rPr>
      </w:pPr>
    </w:p>
    <w:p w14:paraId="4631601E" w14:textId="38F4771A" w:rsidR="0007524E" w:rsidRDefault="0007524E" w:rsidP="0007524E">
      <w:pPr>
        <w:pStyle w:val="NoSpacing"/>
        <w:rPr>
          <w:rFonts w:ascii="Arial" w:hAnsi="Arial" w:cs="Arial"/>
        </w:rPr>
      </w:pPr>
      <w:r w:rsidRPr="0007524E">
        <w:rPr>
          <w:rFonts w:ascii="Arial" w:hAnsi="Arial" w:cs="Arial"/>
        </w:rPr>
        <w:t>From time to time there will be customers who will have experienced circumstances beyond their control and have had a history of bad credit. We will consider these applicants based on their personal circumstances guided by the following</w:t>
      </w:r>
    </w:p>
    <w:p w14:paraId="67E0BFB7" w14:textId="77777777" w:rsidR="006B20DC" w:rsidRPr="0007524E" w:rsidRDefault="006B20DC" w:rsidP="0007524E">
      <w:pPr>
        <w:pStyle w:val="NoSpacing"/>
        <w:rPr>
          <w:rFonts w:ascii="Arial" w:hAnsi="Arial" w:cs="Arial"/>
          <w:color w:val="000000"/>
          <w:kern w:val="0"/>
          <w:lang w:eastAsia="en-GB"/>
          <w14:ligatures w14:val="none"/>
        </w:rPr>
      </w:pPr>
    </w:p>
    <w:tbl>
      <w:tblPr>
        <w:tblStyle w:val="TableGrid"/>
        <w:tblW w:w="0" w:type="auto"/>
        <w:tblLook w:val="04A0" w:firstRow="1" w:lastRow="0" w:firstColumn="1" w:lastColumn="0" w:noHBand="0" w:noVBand="1"/>
      </w:tblPr>
      <w:tblGrid>
        <w:gridCol w:w="3510"/>
        <w:gridCol w:w="5506"/>
      </w:tblGrid>
      <w:tr w:rsidR="0007524E" w:rsidRPr="0007524E" w14:paraId="4788614A" w14:textId="77777777" w:rsidTr="00D56287">
        <w:tc>
          <w:tcPr>
            <w:tcW w:w="3964" w:type="dxa"/>
          </w:tcPr>
          <w:p w14:paraId="6F412E8B"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Missed mortgage/rent arrears</w:t>
            </w:r>
          </w:p>
        </w:tc>
        <w:tc>
          <w:tcPr>
            <w:tcW w:w="6492" w:type="dxa"/>
          </w:tcPr>
          <w:p w14:paraId="32A38DEC"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If this has happened in the last 12 months, it won’t usually be accepted. That said, we may consider the situation through an individual assessment with one of our approved IFAs</w:t>
            </w:r>
          </w:p>
        </w:tc>
      </w:tr>
      <w:tr w:rsidR="0007524E" w:rsidRPr="0007524E" w14:paraId="60235D1B" w14:textId="77777777" w:rsidTr="00D56287">
        <w:tc>
          <w:tcPr>
            <w:tcW w:w="3964" w:type="dxa"/>
          </w:tcPr>
          <w:p w14:paraId="56092375"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Unsecured arrears</w:t>
            </w:r>
          </w:p>
        </w:tc>
        <w:tc>
          <w:tcPr>
            <w:tcW w:w="6492" w:type="dxa"/>
          </w:tcPr>
          <w:p w14:paraId="37A21599"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An individual assessment needs to be carried out by one of our approved IFAs</w:t>
            </w:r>
          </w:p>
        </w:tc>
      </w:tr>
      <w:tr w:rsidR="0007524E" w:rsidRPr="0007524E" w14:paraId="691E6314" w14:textId="77777777" w:rsidTr="00D56287">
        <w:tc>
          <w:tcPr>
            <w:tcW w:w="3964" w:type="dxa"/>
          </w:tcPr>
          <w:p w14:paraId="47B7BC6F"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County Court Judgments or registered</w:t>
            </w:r>
          </w:p>
          <w:p w14:paraId="6EC4D02E"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defaults</w:t>
            </w:r>
          </w:p>
        </w:tc>
        <w:tc>
          <w:tcPr>
            <w:tcW w:w="6492" w:type="dxa"/>
          </w:tcPr>
          <w:p w14:paraId="0F735718"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None in the last 36 months. Plus, they must be satisfied prior to the mortgage application. They may be acceptable in the following situations:</w:t>
            </w:r>
          </w:p>
          <w:p w14:paraId="56E0FA3A"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 All CCJs/defaults were registered more than three years ago and satisfied prior to mortgage application.</w:t>
            </w:r>
          </w:p>
          <w:p w14:paraId="0FEC59FE"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 All CCJs/defaults were satisfied more than 12 months prior to application regardless of date of registration.</w:t>
            </w:r>
          </w:p>
          <w:p w14:paraId="79450D5B"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 The CCJs/defaults in aggregate amount to less than £300, regardless of date of registration, and were satisfied prior to mortgage application.</w:t>
            </w:r>
          </w:p>
        </w:tc>
      </w:tr>
      <w:tr w:rsidR="0007524E" w:rsidRPr="0007524E" w14:paraId="7CE1C561" w14:textId="77777777" w:rsidTr="00D56287">
        <w:tc>
          <w:tcPr>
            <w:tcW w:w="3964" w:type="dxa"/>
          </w:tcPr>
          <w:p w14:paraId="4DCBDC64"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Individual voluntary arrangement (IVA)</w:t>
            </w:r>
          </w:p>
          <w:p w14:paraId="20D2D846"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and discharged bankrupts</w:t>
            </w:r>
          </w:p>
        </w:tc>
        <w:tc>
          <w:tcPr>
            <w:tcW w:w="6492" w:type="dxa"/>
          </w:tcPr>
          <w:p w14:paraId="53BFB724"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IVA/bankrupts who have been discharged over three years ago and who have no residual debt may be accepted subject to individual assessment with one of our approved IFAs</w:t>
            </w:r>
          </w:p>
        </w:tc>
      </w:tr>
      <w:tr w:rsidR="0007524E" w:rsidRPr="0007524E" w14:paraId="59254428" w14:textId="77777777" w:rsidTr="00D56287">
        <w:tc>
          <w:tcPr>
            <w:tcW w:w="3964" w:type="dxa"/>
          </w:tcPr>
          <w:p w14:paraId="7C5E0A41"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Repossessions</w:t>
            </w:r>
          </w:p>
        </w:tc>
        <w:tc>
          <w:tcPr>
            <w:tcW w:w="6492" w:type="dxa"/>
          </w:tcPr>
          <w:p w14:paraId="3EBC4EBB" w14:textId="77777777" w:rsidR="0007524E" w:rsidRPr="0007524E" w:rsidRDefault="0007524E" w:rsidP="0007524E">
            <w:pPr>
              <w:pStyle w:val="xxxxxxmc-p"/>
              <w:rPr>
                <w:rFonts w:ascii="Arial" w:hAnsi="Arial" w:cs="Arial"/>
                <w:color w:val="000000"/>
              </w:rPr>
            </w:pPr>
            <w:r w:rsidRPr="0007524E">
              <w:rPr>
                <w:rFonts w:ascii="Arial" w:hAnsi="Arial" w:cs="Arial"/>
                <w:color w:val="000000"/>
              </w:rPr>
              <w:t>Not acceptable.</w:t>
            </w:r>
          </w:p>
        </w:tc>
      </w:tr>
    </w:tbl>
    <w:p w14:paraId="05B4A5C6" w14:textId="77777777" w:rsidR="0007524E" w:rsidRPr="0007524E" w:rsidRDefault="0007524E" w:rsidP="0007524E">
      <w:pPr>
        <w:pStyle w:val="xxxxxxmc-p"/>
        <w:rPr>
          <w:rFonts w:ascii="Arial" w:hAnsi="Arial" w:cs="Arial"/>
          <w:color w:val="000000"/>
        </w:rPr>
      </w:pPr>
    </w:p>
    <w:sectPr w:rsidR="0007524E" w:rsidRPr="00075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C16"/>
    <w:multiLevelType w:val="hybridMultilevel"/>
    <w:tmpl w:val="B82C1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467EE6"/>
    <w:multiLevelType w:val="hybridMultilevel"/>
    <w:tmpl w:val="FE64E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33A73"/>
    <w:multiLevelType w:val="hybridMultilevel"/>
    <w:tmpl w:val="DCDA1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AB2C78"/>
    <w:multiLevelType w:val="hybridMultilevel"/>
    <w:tmpl w:val="EA7C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F27F8"/>
    <w:multiLevelType w:val="hybridMultilevel"/>
    <w:tmpl w:val="1820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1134A5"/>
    <w:multiLevelType w:val="hybridMultilevel"/>
    <w:tmpl w:val="012C6EEC"/>
    <w:lvl w:ilvl="0" w:tplc="55727836">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A239C"/>
    <w:multiLevelType w:val="hybridMultilevel"/>
    <w:tmpl w:val="9A3442A2"/>
    <w:lvl w:ilvl="0" w:tplc="4ADAE96E">
      <w:start w:val="1"/>
      <w:numFmt w:val="bullet"/>
      <w:lvlText w:val="•"/>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9044899">
    <w:abstractNumId w:val="3"/>
  </w:num>
  <w:num w:numId="2" w16cid:durableId="1527133505">
    <w:abstractNumId w:val="5"/>
  </w:num>
  <w:num w:numId="3" w16cid:durableId="96603460">
    <w:abstractNumId w:val="2"/>
  </w:num>
  <w:num w:numId="4" w16cid:durableId="1138650626">
    <w:abstractNumId w:val="1"/>
  </w:num>
  <w:num w:numId="5" w16cid:durableId="1705254406">
    <w:abstractNumId w:val="6"/>
  </w:num>
  <w:num w:numId="6" w16cid:durableId="1539665882">
    <w:abstractNumId w:val="4"/>
  </w:num>
  <w:num w:numId="7" w16cid:durableId="178981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8A"/>
    <w:rsid w:val="00015F8E"/>
    <w:rsid w:val="0007524E"/>
    <w:rsid w:val="00140772"/>
    <w:rsid w:val="001C64E7"/>
    <w:rsid w:val="00370BA9"/>
    <w:rsid w:val="004E6CC7"/>
    <w:rsid w:val="00550230"/>
    <w:rsid w:val="005C46D7"/>
    <w:rsid w:val="006B20DC"/>
    <w:rsid w:val="008C2883"/>
    <w:rsid w:val="00A10151"/>
    <w:rsid w:val="00B56E8A"/>
    <w:rsid w:val="00BB4753"/>
    <w:rsid w:val="00CF3DB4"/>
    <w:rsid w:val="00F14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8D2F"/>
  <w15:chartTrackingRefBased/>
  <w15:docId w15:val="{8842E31F-EA1A-4674-8F90-23759D35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E8A"/>
    <w:rPr>
      <w:rFonts w:eastAsiaTheme="majorEastAsia" w:cstheme="majorBidi"/>
      <w:color w:val="272727" w:themeColor="text1" w:themeTint="D8"/>
    </w:rPr>
  </w:style>
  <w:style w:type="paragraph" w:styleId="Title">
    <w:name w:val="Title"/>
    <w:basedOn w:val="Normal"/>
    <w:next w:val="Normal"/>
    <w:link w:val="TitleChar"/>
    <w:uiPriority w:val="10"/>
    <w:qFormat/>
    <w:rsid w:val="00B56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E8A"/>
    <w:pPr>
      <w:spacing w:before="160"/>
      <w:jc w:val="center"/>
    </w:pPr>
    <w:rPr>
      <w:i/>
      <w:iCs/>
      <w:color w:val="404040" w:themeColor="text1" w:themeTint="BF"/>
    </w:rPr>
  </w:style>
  <w:style w:type="character" w:customStyle="1" w:styleId="QuoteChar">
    <w:name w:val="Quote Char"/>
    <w:basedOn w:val="DefaultParagraphFont"/>
    <w:link w:val="Quote"/>
    <w:uiPriority w:val="29"/>
    <w:rsid w:val="00B56E8A"/>
    <w:rPr>
      <w:i/>
      <w:iCs/>
      <w:color w:val="404040" w:themeColor="text1" w:themeTint="BF"/>
    </w:rPr>
  </w:style>
  <w:style w:type="paragraph" w:styleId="ListParagraph">
    <w:name w:val="List Paragraph"/>
    <w:basedOn w:val="Normal"/>
    <w:uiPriority w:val="34"/>
    <w:qFormat/>
    <w:rsid w:val="00B56E8A"/>
    <w:pPr>
      <w:ind w:left="720"/>
      <w:contextualSpacing/>
    </w:pPr>
  </w:style>
  <w:style w:type="character" w:styleId="IntenseEmphasis">
    <w:name w:val="Intense Emphasis"/>
    <w:basedOn w:val="DefaultParagraphFont"/>
    <w:uiPriority w:val="21"/>
    <w:qFormat/>
    <w:rsid w:val="00B56E8A"/>
    <w:rPr>
      <w:i/>
      <w:iCs/>
      <w:color w:val="0F4761" w:themeColor="accent1" w:themeShade="BF"/>
    </w:rPr>
  </w:style>
  <w:style w:type="paragraph" w:styleId="IntenseQuote">
    <w:name w:val="Intense Quote"/>
    <w:basedOn w:val="Normal"/>
    <w:next w:val="Normal"/>
    <w:link w:val="IntenseQuoteChar"/>
    <w:uiPriority w:val="30"/>
    <w:qFormat/>
    <w:rsid w:val="00B56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E8A"/>
    <w:rPr>
      <w:i/>
      <w:iCs/>
      <w:color w:val="0F4761" w:themeColor="accent1" w:themeShade="BF"/>
    </w:rPr>
  </w:style>
  <w:style w:type="character" w:styleId="IntenseReference">
    <w:name w:val="Intense Reference"/>
    <w:basedOn w:val="DefaultParagraphFont"/>
    <w:uiPriority w:val="32"/>
    <w:qFormat/>
    <w:rsid w:val="00B56E8A"/>
    <w:rPr>
      <w:b/>
      <w:bCs/>
      <w:smallCaps/>
      <w:color w:val="0F4761" w:themeColor="accent1" w:themeShade="BF"/>
      <w:spacing w:val="5"/>
    </w:rPr>
  </w:style>
  <w:style w:type="character" w:styleId="Hyperlink">
    <w:name w:val="Hyperlink"/>
    <w:basedOn w:val="DefaultParagraphFont"/>
    <w:uiPriority w:val="99"/>
    <w:unhideWhenUsed/>
    <w:rsid w:val="00BB4753"/>
    <w:rPr>
      <w:color w:val="0000FF"/>
      <w:u w:val="single"/>
    </w:rPr>
  </w:style>
  <w:style w:type="paragraph" w:customStyle="1" w:styleId="xxxxxxmc-p">
    <w:name w:val="x_xxxxxmc-p"/>
    <w:basedOn w:val="Normal"/>
    <w:rsid w:val="00BB4753"/>
    <w:pPr>
      <w:spacing w:before="100" w:beforeAutospacing="1" w:after="100" w:afterAutospacing="1" w:line="240" w:lineRule="auto"/>
    </w:pPr>
    <w:rPr>
      <w:rFonts w:ascii="Calibri" w:hAnsi="Calibri" w:cs="Calibri"/>
      <w:kern w:val="0"/>
      <w:sz w:val="22"/>
      <w:szCs w:val="22"/>
      <w:lang w:eastAsia="en-GB"/>
      <w14:ligatures w14:val="none"/>
    </w:rPr>
  </w:style>
  <w:style w:type="table" w:styleId="TableGrid">
    <w:name w:val="Table Grid"/>
    <w:basedOn w:val="TableNormal"/>
    <w:uiPriority w:val="39"/>
    <w:rsid w:val="00140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0772"/>
    <w:pPr>
      <w:spacing w:after="0" w:line="240" w:lineRule="auto"/>
    </w:pPr>
  </w:style>
  <w:style w:type="character" w:styleId="UnresolvedMention">
    <w:name w:val="Unresolved Mention"/>
    <w:basedOn w:val="DefaultParagraphFont"/>
    <w:uiPriority w:val="99"/>
    <w:semiHidden/>
    <w:unhideWhenUsed/>
    <w:rsid w:val="00550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pmortgag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o6FpHV1e90ePTd7Wk7ec3urZmlQc--JFm3_41DdLNclUQjBWOUw1WUZPM1hWN05CUk1EOTMwRUIyRyQlQCN0PWcu&amp;origin=lprLink&amp;route=shortur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4486</Characters>
  <Application>Microsoft Office Word</Application>
  <DocSecurity>0</DocSecurity>
  <Lines>131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Ellicott</dc:creator>
  <cp:keywords/>
  <dc:description/>
  <cp:lastModifiedBy>Jasmine Ellicott</cp:lastModifiedBy>
  <cp:revision>7</cp:revision>
  <dcterms:created xsi:type="dcterms:W3CDTF">2025-08-05T15:28:00Z</dcterms:created>
  <dcterms:modified xsi:type="dcterms:W3CDTF">2026-02-23T11:17:00Z</dcterms:modified>
</cp:coreProperties>
</file>